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0FD82" w14:textId="1B337551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Uchwała 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 </w:t>
      </w:r>
      <w:r>
        <w:rPr>
          <w:rFonts w:ascii="Times New Roman" w:hAnsi="Times New Roman" w:cs="Times New Roman"/>
          <w:kern w:val="0"/>
          <w:sz w:val="24"/>
          <w:szCs w:val="24"/>
        </w:rPr>
        <w:t>……</w:t>
      </w:r>
      <w:r>
        <w:rPr>
          <w:rFonts w:ascii="Times New Roman" w:hAnsi="Times New Roman" w:cs="Times New Roman"/>
          <w:kern w:val="0"/>
          <w:sz w:val="24"/>
          <w:szCs w:val="24"/>
        </w:rPr>
        <w:t>/2024</w:t>
      </w:r>
    </w:p>
    <w:p w14:paraId="44EA27BD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Rady Gminy Brodnica                                       </w:t>
      </w:r>
    </w:p>
    <w:p w14:paraId="66034A62" w14:textId="7F3D4518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 z dnia </w:t>
      </w:r>
      <w:r>
        <w:rPr>
          <w:rFonts w:ascii="Times New Roman" w:hAnsi="Times New Roman" w:cs="Times New Roman"/>
          <w:kern w:val="0"/>
          <w:sz w:val="24"/>
          <w:szCs w:val="24"/>
        </w:rPr>
        <w:t>29 kwietnia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2024 r.                    </w:t>
      </w: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</w:t>
      </w:r>
    </w:p>
    <w:p w14:paraId="274991CE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C6B5D82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zmieniająca uchwałę w sprawie uchwalenia Wieloletniej Prognozy Finansowej Gminy Brodnica na lata 2024-2027</w:t>
      </w:r>
    </w:p>
    <w:p w14:paraId="4DEF1D9E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950049F" w14:textId="7AC33449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  <w:t>Na podstawie art. 18 ust. 2 pkt 15 ustawy z dnia 8 marca 1990 r. o samorządzie gminnym (Dz. U. z 2023 r. poz. 40, 572, 1463 i 1688) i art. 226, art. 227, art. 228 oraz art. 231 ust. 1 ustawy z dnia 27 sierpnia 2009 r. o finansach publicznych (Dz. U. z 2023 r. poz. 1270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/>
        <w:t>z  późn.zm.</w:t>
      </w:r>
      <w:r w:rsidRPr="00281C67">
        <w:rPr>
          <w:rStyle w:val="Odwoanieprzypisudolnego"/>
          <w:rFonts w:ascii="Times New Roman" w:hAnsi="Times New Roman" w:cs="Times New Roman"/>
          <w:color w:val="000000"/>
          <w:kern w:val="0"/>
          <w:sz w:val="20"/>
          <w:szCs w:val="20"/>
        </w:rPr>
        <w:footnoteReference w:id="1"/>
      </w:r>
      <w:r w:rsidRPr="00281C67">
        <w:rPr>
          <w:rFonts w:ascii="Times New Roman" w:hAnsi="Times New Roman" w:cs="Times New Roman"/>
          <w:color w:val="000000"/>
          <w:kern w:val="0"/>
          <w:sz w:val="20"/>
          <w:szCs w:val="20"/>
        </w:rPr>
        <w:t>)</w:t>
      </w:r>
      <w:r w:rsidRPr="003F234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oraz Rozporządzenia Ministra Finansów z dnia 10 stycznia 2013 r. w sprawie wieloletniej prognozy finansowej jednostki samorządu terytorialnego (Dz. U. z 2021 r. poz. 83) Rada Gminy Brodnica uchwala, co następuje:</w:t>
      </w:r>
    </w:p>
    <w:p w14:paraId="3DCE39E1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B8F38B8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§ 1. W Uchwale Nr XLIII/267/2023 Rady Gminy Brodnica z dnia 18 grudnia 2023 r. w sprawie uchwalenia Wieloletniej Prognozy Finansowej Gminy Brodnica na lata 2024-2027, wprowadza się następujące zmiany:</w:t>
      </w:r>
    </w:p>
    <w:p w14:paraId="307FA55D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1) załącznik nr 1 otrzymuje brzmienie określone w załączniku nr 1 do niniejszej uchwały,</w:t>
      </w:r>
    </w:p>
    <w:p w14:paraId="2BF7B54E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2) załącznik nr 2 otrzymuje brzmienie określone w załączniku nr 2 do niniejszej uchwały.</w:t>
      </w:r>
    </w:p>
    <w:p w14:paraId="58F346FA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7F6D644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§ 2. Do uchwały dołącza się objaśnienia przyjętych wartości.</w:t>
      </w:r>
    </w:p>
    <w:p w14:paraId="2386A255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F0E501F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§ 3. Wykonanie uchwały powierza się Wójtowi Gminy Brodnica.</w:t>
      </w:r>
    </w:p>
    <w:p w14:paraId="6324ACC5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04F6FB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§ 4. Uchwała wchodzi w życie z dniem podjęcia. </w:t>
      </w:r>
    </w:p>
    <w:p w14:paraId="0683C6DD" w14:textId="77777777" w:rsidR="00281C67" w:rsidRPr="003F2345" w:rsidRDefault="00281C67" w:rsidP="00281C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870D14C" w14:textId="77777777" w:rsidR="00281C67" w:rsidRPr="003F2345" w:rsidRDefault="00281C67" w:rsidP="00281C67">
      <w:pPr>
        <w:rPr>
          <w:rFonts w:ascii="Times New Roman" w:hAnsi="Times New Roman" w:cs="Times New Roman"/>
          <w:sz w:val="24"/>
          <w:szCs w:val="24"/>
        </w:rPr>
      </w:pPr>
    </w:p>
    <w:p w14:paraId="6B1A0F3F" w14:textId="77777777" w:rsidR="00281C67" w:rsidRPr="003F2345" w:rsidRDefault="00281C67" w:rsidP="00281C67">
      <w:pPr>
        <w:rPr>
          <w:rFonts w:ascii="Times New Roman" w:hAnsi="Times New Roman" w:cs="Times New Roman"/>
          <w:sz w:val="24"/>
          <w:szCs w:val="24"/>
        </w:rPr>
      </w:pPr>
    </w:p>
    <w:p w14:paraId="61C7DE65" w14:textId="77777777" w:rsidR="00281C67" w:rsidRPr="003F2345" w:rsidRDefault="00281C67" w:rsidP="00281C67">
      <w:pPr>
        <w:rPr>
          <w:rFonts w:ascii="Times New Roman" w:hAnsi="Times New Roman" w:cs="Times New Roman"/>
          <w:sz w:val="24"/>
          <w:szCs w:val="24"/>
        </w:rPr>
      </w:pPr>
    </w:p>
    <w:p w14:paraId="4BABA1EE" w14:textId="77777777" w:rsidR="00281C67" w:rsidRPr="003F2345" w:rsidRDefault="00281C67" w:rsidP="00281C67">
      <w:pPr>
        <w:rPr>
          <w:rFonts w:ascii="Times New Roman" w:hAnsi="Times New Roman" w:cs="Times New Roman"/>
          <w:sz w:val="24"/>
          <w:szCs w:val="24"/>
        </w:rPr>
      </w:pPr>
    </w:p>
    <w:p w14:paraId="12700E1E" w14:textId="77777777" w:rsidR="00281C67" w:rsidRPr="003F2345" w:rsidRDefault="00281C67" w:rsidP="00281C67">
      <w:pPr>
        <w:rPr>
          <w:rFonts w:ascii="Times New Roman" w:hAnsi="Times New Roman" w:cs="Times New Roman"/>
          <w:sz w:val="24"/>
          <w:szCs w:val="24"/>
        </w:rPr>
      </w:pPr>
    </w:p>
    <w:p w14:paraId="6FDA4287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Objaśnienia przyjętych wartości do Wieloletniej Prognozy Finansowej WPF Gminy</w:t>
      </w:r>
    </w:p>
    <w:p w14:paraId="233726A3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b/>
          <w:bCs/>
          <w:kern w:val="0"/>
          <w:sz w:val="24"/>
          <w:szCs w:val="24"/>
        </w:rPr>
        <w:t>Brodnica na lata 2024 – 2027, zwanej dalej WPF</w:t>
      </w:r>
    </w:p>
    <w:p w14:paraId="15D1FCC8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3DB35A9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Do opracowania WPF wykorzystano historyczne materiały źródłowe dotyczące wykonania dochodów i wydatków, przychodów i rozchodów za lata 2019-202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a także podstawowe wskaźniki makroekonomiczne na lata 2024-2027 (aktualizacja październik 2023 r.). Do opracowania WPF wykorzystano zgromadzone informacje o faktach dotyczących gospodarki finansowej.</w:t>
      </w:r>
    </w:p>
    <w:p w14:paraId="7BA6664A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Niestabilność i nieprzewidywalność cykli gospodarczych nakazuje zachowanie szczególnej ostrożności dla prognoz długookresowych. Tworzenie projekcji poszczególnych kategorii dochodów i wydatków, obrazujących sytuację finansową gminy w przyszłych latach, pozwala na dokonanie oceny możliwości inwestycyjnych oraz ocenę jej zdolności kredytowej.</w:t>
      </w:r>
    </w:p>
    <w:p w14:paraId="39AF132E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Do projektowania dochodów z tytułu podatków i opłat lokalnych przyjęto średnioroczny wskaźnik wzrostu cen towarów i usług konsumpcyjnych na rok 2025 4,1%, na rok 2026 3,1% i na rok 2027 2,5% biorąc pod uwagę wzrost podstawy opodatkowania.</w:t>
      </w:r>
    </w:p>
    <w:p w14:paraId="0C7F8D94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2024 r. dochody z podatków lokalnych zaplanowano zgodnie z Uchwałami Rady Gminy oraz ustawowymi stawkami, które będą obowiązywały w 2024 r. Udziały w podatku dochodowym od osób fizycznych i od osób prawnych planuje się na 2024 r. w kwotach zgodnych z informacją Ministra Finansów. Na dalsze lata 2025-2027 dochody z tych tytułów planuje się wyższe o 4,1% w roku 2025, o 3,1% w roku 2026 i o 2,5% w roku 2027.</w:t>
      </w:r>
    </w:p>
    <w:p w14:paraId="14670D48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latach 2024 i 2025 zaplanowano dochody majątkowe w łącznej kwocie 10.749.144,00 zł z tytułu wstępnych promes jakie gmina otrzymała w 2023 r. z Banku Gospodarstwa Krajowego na dofinansow</w:t>
      </w:r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>nie inwestycji:</w:t>
      </w:r>
    </w:p>
    <w:p w14:paraId="50754491" w14:textId="77777777" w:rsidR="00281C67" w:rsidRPr="003F2345" w:rsidRDefault="00281C67" w:rsidP="00281C6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Przebudowa dróg gminnych na terenie Gminy Brodnica z Rządowego Funduszu Polski Ład: Programu Inwestycji Strategicznych edycja szósta PGR - plan roku 2024 r. 1.999.200,00 zł (jedna transza),</w:t>
      </w:r>
    </w:p>
    <w:p w14:paraId="3DD45E78" w14:textId="77777777" w:rsidR="00281C67" w:rsidRPr="003F2345" w:rsidRDefault="00281C67" w:rsidP="00281C6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Modernizacja zabytkowego budynku wraz z ogrodzeniem byłej szkoły podstawowej w Żabnie, obecnie pełniącego funkcję przedszkola z Rządowego Programu Odbudowy Zbytków edycja pierwsza - plan roku 2024 490.000,00 zł (jedna transza),</w:t>
      </w:r>
    </w:p>
    <w:p w14:paraId="1738FBBC" w14:textId="77777777" w:rsidR="00281C67" w:rsidRPr="003F2345" w:rsidRDefault="00281C67" w:rsidP="00281C6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Modernizacja zabytkowego budynku starej szkoły podstawowej w Brodnicy, obecnie pełniącego funkcję Biblioteki Publicznej Gminy Brodnica z Rządowego Programu Odbudowy Zbytków edycja druga - plan roku 2024 259.994,00 zł (jedna transza),</w:t>
      </w:r>
    </w:p>
    <w:p w14:paraId="001E227C" w14:textId="77777777" w:rsidR="00281C67" w:rsidRPr="003F2345" w:rsidRDefault="00281C67" w:rsidP="00281C67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Budowa oraz przebudowa sieci wodociągowej z przyłączami oraz budowa sieci kanalizacyjnej w miejscowościach Gminy Brodnica Rządowego Funduszu Polski Ład: Programu Inwestycji Strategicznych edycja ósma - plan roku 2024 r. 2.399.985,00 zł i roku 2025 5.599.965,00 zł, tj. łącznie 7.999.950,00 zł (dwie transze).</w:t>
      </w:r>
    </w:p>
    <w:p w14:paraId="1F1D9197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Subwencję ogólną w roku 2024 zaplanowano w wysokości 1</w:t>
      </w:r>
      <w:r>
        <w:rPr>
          <w:rFonts w:ascii="Times New Roman" w:hAnsi="Times New Roman" w:cs="Times New Roman"/>
          <w:kern w:val="0"/>
          <w:sz w:val="24"/>
          <w:szCs w:val="24"/>
        </w:rPr>
        <w:t>3.025.361,00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 zgodnie z informacją Ministra Finansów. Na lata 2025-2027 zaplanowano wzrost: w roku 2025 o 4,1%, w roku 2026 o 3,1% i w roku 2027 o 2,5%.</w:t>
      </w:r>
    </w:p>
    <w:p w14:paraId="4C671D95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lastRenderedPageBreak/>
        <w:t>Do projektowania dochodów z dzierżaw oraz wpływów z usług przyjęto średnioroczny wskaźnik wzrostu cen towarów i usług konsumpcyjnych.</w:t>
      </w:r>
    </w:p>
    <w:p w14:paraId="2AE6A92F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Plan dotacji na 2024 r. ustalono zgodnie z zawiadomieniami dysponentów za wyjątkiem dotacji dotyczącej dofinansowania wychowania przedszkolnego. Plan dotacji na lata 2025-2027 ustalono według stanu na 31.10.2023 r. z uwzględnieniem § 2010, § 2030 oraz zastosowano wskaźnik wzrostu cen towarów i usług konsumpcyjnych.</w:t>
      </w:r>
    </w:p>
    <w:p w14:paraId="6DF5318F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Pozostałe dochody zaplanowano z uwzględnieniem wykonania w 2022 r. oraz przewidywanego wykonania w 2023 r. oraz na podstawie przedmiotowych uchwał rady gminy, biorąc pod uwagę incydentalne wpływy do budżetu.</w:t>
      </w:r>
    </w:p>
    <w:p w14:paraId="727B31B5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Poziom prognozowanych wydatków bieżących zdeterminowany jest zakresem realizowanych zadań oraz możliwościami finansowymi.</w:t>
      </w:r>
    </w:p>
    <w:p w14:paraId="7B2EE935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Do opracowania wielkości planowanych wydatków przyjęto założenie, że wzrost nastąpi w zakresie wydatków bieżących niezbędnych dla prawidłowego realizowania zadań gminy biorąc pod uwagę jednoroczne, incydentalne wydatki.</w:t>
      </w:r>
    </w:p>
    <w:p w14:paraId="51B58B37" w14:textId="4E4ACF48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Wydatki na wynagrodzenia i składki od nich naliczone na 2024 rok zaplanowano w wysokości 1</w:t>
      </w:r>
      <w:r w:rsidR="00BF5FE6">
        <w:rPr>
          <w:rFonts w:ascii="Times New Roman" w:hAnsi="Times New Roman" w:cs="Times New Roman"/>
          <w:kern w:val="0"/>
          <w:sz w:val="24"/>
          <w:szCs w:val="24"/>
        </w:rPr>
        <w:t>4.087.979,13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zł. Na lata 2025-2027 zaplanowano wzrost w oparciu o planowany średnioroczny wzrost cen towarów i usług konsumpcyjnych.</w:t>
      </w:r>
    </w:p>
    <w:p w14:paraId="3CAAABA6" w14:textId="12CC98E5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Wydatki majątkowe zaplanowano w 2024 r. w wysokości </w:t>
      </w:r>
      <w:r w:rsidR="00BF5FE6">
        <w:rPr>
          <w:rFonts w:ascii="Times New Roman" w:hAnsi="Times New Roman" w:cs="Times New Roman"/>
          <w:kern w:val="0"/>
          <w:sz w:val="24"/>
          <w:szCs w:val="24"/>
        </w:rPr>
        <w:t>9.119.422,25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 i dla roku 2025 6.021.015,00 zł.</w:t>
      </w:r>
    </w:p>
    <w:p w14:paraId="7A87E401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Generowanie nadwyżki operacyjnej wymaga determinacji w zakresie racjonalizacji wydatków bieżących. Zakłada się podejmowanie działań efektywnościowych w obszarach, na które Gmina ma wpływ. Zarówno na etapie planowania jak i realizacji budżetu konieczne jest zachowanie odpowiedniej relacji między dochodami bieżącymi i wydatkami bieżącymi.</w:t>
      </w:r>
    </w:p>
    <w:p w14:paraId="4A42FF5C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Planowany deficyt w 2024 r. w wysokości 2.802.113,64 zł zostanie sfinansowany przychodami pochodzącymi z nadwyżki budżetu z lat ubiegłych.</w:t>
      </w:r>
    </w:p>
    <w:p w14:paraId="074B5626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WPF nie planuje się zaciągać nowych zobowiązań zwrotnych.</w:t>
      </w:r>
    </w:p>
    <w:p w14:paraId="7034AE98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W roku 2025 zaplanowano przychody z tytułu nadwyżki budżetowej z lat ubiegłych w wysokości 721.050,00 zł (w tym na pokrycie deficytu 421.050,00 zł).</w:t>
      </w:r>
    </w:p>
    <w:p w14:paraId="301ADF4D" w14:textId="3725A0E2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W roku 2024 nadwyżka operacyjna wynosi </w:t>
      </w:r>
      <w:r w:rsidR="00BF5FE6">
        <w:rPr>
          <w:rFonts w:ascii="Times New Roman" w:hAnsi="Times New Roman" w:cs="Times New Roman"/>
          <w:kern w:val="0"/>
          <w:sz w:val="24"/>
          <w:szCs w:val="24"/>
        </w:rPr>
        <w:t>387.429,61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zł. W latach 2025-2027 nie planuje się nadwyżki operacyjnej, planowane dochody bieżące równe są wydatkom bieżącym.</w:t>
      </w:r>
    </w:p>
    <w:p w14:paraId="11F55DF9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Wykup obligacji oraz spłaty odsetek zaplanowano zgodnie z zawartą w 2017 r. umową. </w:t>
      </w:r>
    </w:p>
    <w:p w14:paraId="0D22DA80" w14:textId="77777777" w:rsidR="00281C67" w:rsidRPr="003F2345" w:rsidRDefault="00281C67" w:rsidP="0028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Przedsięwzięcia wieloletnie określone w załączniku do WPF to:</w:t>
      </w:r>
    </w:p>
    <w:p w14:paraId="0D250717" w14:textId="2B2C2874" w:rsidR="00281C67" w:rsidRPr="003F2345" w:rsidRDefault="00281C67" w:rsidP="00281C6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Budowa rurociągu wody surowej S1 od ujęcia wody do SUW w Piotrowie 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br/>
        <w:t xml:space="preserve">w miejscowości Piotrowo obręb Chaławy z okresem realizacji w latach 2022-2024, łączne nakłady wynoszą </w:t>
      </w:r>
      <w:r w:rsidR="00BF5FE6">
        <w:rPr>
          <w:rFonts w:ascii="Times New Roman" w:hAnsi="Times New Roman" w:cs="Times New Roman"/>
          <w:kern w:val="0"/>
          <w:sz w:val="24"/>
          <w:szCs w:val="24"/>
        </w:rPr>
        <w:t>222 752,00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zł, limit wydatków dla roku 2024 wynosi </w:t>
      </w:r>
      <w:r w:rsidR="00BF5FE6">
        <w:rPr>
          <w:rFonts w:ascii="Times New Roman" w:hAnsi="Times New Roman" w:cs="Times New Roman"/>
          <w:kern w:val="0"/>
          <w:sz w:val="24"/>
          <w:szCs w:val="24"/>
        </w:rPr>
        <w:t>206.762,00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 zł.</w:t>
      </w:r>
    </w:p>
    <w:p w14:paraId="608DC5BC" w14:textId="77777777" w:rsidR="00281C67" w:rsidRPr="003F2345" w:rsidRDefault="00281C67" w:rsidP="00281C6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 xml:space="preserve">Modernizacja zabytkowego budynku wraz z ogrodzeniem byłej szkoły podstawowej 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br/>
        <w:t>w Żabnie, obecnie pełniącego funkcje przedszkola, z okresem realizacji w latach 2023-</w:t>
      </w:r>
      <w:r w:rsidRPr="003F2345">
        <w:rPr>
          <w:rFonts w:ascii="Times New Roman" w:hAnsi="Times New Roman" w:cs="Times New Roman"/>
          <w:kern w:val="0"/>
          <w:sz w:val="24"/>
          <w:szCs w:val="24"/>
        </w:rPr>
        <w:lastRenderedPageBreak/>
        <w:t>2024, łączne nakłady wynoszą 543.980,00 zł limit wydatków dla roku 2024 wynosi 523.680,00 zł.</w:t>
      </w:r>
    </w:p>
    <w:p w14:paraId="39E7A8F8" w14:textId="77777777" w:rsidR="00281C67" w:rsidRPr="003F2345" w:rsidRDefault="00281C67" w:rsidP="00281C6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Przebudowa dróg gminnych na terenie Gminy Brodnica z okresem realizacji w latach 2023-2024, łączne nakłady wynoszą 2.259.152,00 zł, limit wydatków dla roku 2024 wynosi 2.155.709,00 zł.</w:t>
      </w:r>
    </w:p>
    <w:p w14:paraId="074A0C9C" w14:textId="77777777" w:rsidR="00281C67" w:rsidRPr="003F2345" w:rsidRDefault="00281C67" w:rsidP="00281C6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Budowa oraz przebudowa sieci wodociągowej z przyłączami oraz budowa sieci kanalizacyjnej w miejscowościach Gminy Brodnica z okresem realizacji w latach 2023-2025, łączne nakłady wynoszą 8.722.315,00 zł, limit wydatków dla roku 2024 wynosi 2.646.300,00 zł a dla roku 2025 6.021.015,00 zł.</w:t>
      </w:r>
    </w:p>
    <w:p w14:paraId="3ED28055" w14:textId="77777777" w:rsidR="00281C67" w:rsidRPr="003F2345" w:rsidRDefault="00281C67" w:rsidP="00281C67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2345">
        <w:rPr>
          <w:rFonts w:ascii="Times New Roman" w:hAnsi="Times New Roman" w:cs="Times New Roman"/>
          <w:kern w:val="0"/>
          <w:sz w:val="24"/>
          <w:szCs w:val="24"/>
        </w:rPr>
        <w:t>Rozbudowa budynku świetlicy wiejskiej w Chaławach z okresem realizacji w latach 2023-2024, łączne nakłady wynoszą 173.597,00 zł, limit wydatków dla roku 2024 wynosi 164.697,00 zł.</w:t>
      </w:r>
    </w:p>
    <w:p w14:paraId="2C92178B" w14:textId="77777777" w:rsidR="00281C67" w:rsidRPr="003F2345" w:rsidRDefault="00281C67" w:rsidP="00281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B9E0117" w14:textId="77777777" w:rsidR="00281C67" w:rsidRPr="003F2345" w:rsidRDefault="00281C67" w:rsidP="00281C67">
      <w:pPr>
        <w:rPr>
          <w:rFonts w:ascii="Times New Roman" w:hAnsi="Times New Roman" w:cs="Times New Roman"/>
          <w:sz w:val="24"/>
          <w:szCs w:val="24"/>
        </w:rPr>
      </w:pPr>
    </w:p>
    <w:p w14:paraId="11979B14" w14:textId="77777777" w:rsidR="00021A57" w:rsidRDefault="00021A57"/>
    <w:sectPr w:rsidR="00021A57" w:rsidSect="001B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0A42B" w14:textId="77777777" w:rsidR="001B1BCA" w:rsidRDefault="001B1BCA" w:rsidP="00281C67">
      <w:pPr>
        <w:spacing w:after="0" w:line="240" w:lineRule="auto"/>
      </w:pPr>
      <w:r>
        <w:separator/>
      </w:r>
    </w:p>
  </w:endnote>
  <w:endnote w:type="continuationSeparator" w:id="0">
    <w:p w14:paraId="5BFB5C2B" w14:textId="77777777" w:rsidR="001B1BCA" w:rsidRDefault="001B1BCA" w:rsidP="0028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9E558" w14:textId="77777777" w:rsidR="001B1BCA" w:rsidRDefault="001B1BCA" w:rsidP="00281C67">
      <w:pPr>
        <w:spacing w:after="0" w:line="240" w:lineRule="auto"/>
      </w:pPr>
      <w:r>
        <w:separator/>
      </w:r>
    </w:p>
  </w:footnote>
  <w:footnote w:type="continuationSeparator" w:id="0">
    <w:p w14:paraId="10DF4C5E" w14:textId="77777777" w:rsidR="001B1BCA" w:rsidRDefault="001B1BCA" w:rsidP="00281C67">
      <w:pPr>
        <w:spacing w:after="0" w:line="240" w:lineRule="auto"/>
      </w:pPr>
      <w:r>
        <w:continuationSeparator/>
      </w:r>
    </w:p>
  </w:footnote>
  <w:footnote w:id="1">
    <w:p w14:paraId="779CC823" w14:textId="2E77EBBF" w:rsidR="00281C67" w:rsidRDefault="00281C67" w:rsidP="00281C67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ustawy zostały ogłoszone w Dz.U. z 2023 r.  poz. 1273, 1407,</w:t>
      </w:r>
      <w:r>
        <w:t xml:space="preserve"> 1429,</w:t>
      </w:r>
      <w:r>
        <w:t xml:space="preserve"> 1641, 1693, i 1872, </w:t>
      </w:r>
    </w:p>
    <w:p w14:paraId="54B6DF6C" w14:textId="77777777" w:rsidR="00281C67" w:rsidRDefault="00281C67" w:rsidP="00281C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97067626">
    <w:abstractNumId w:val="0"/>
  </w:num>
  <w:num w:numId="2" w16cid:durableId="10944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7"/>
    <w:rsid w:val="00021A57"/>
    <w:rsid w:val="001B1BCA"/>
    <w:rsid w:val="00281C67"/>
    <w:rsid w:val="00B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3A50"/>
  <w15:chartTrackingRefBased/>
  <w15:docId w15:val="{6738497F-AAB7-4E5B-8674-499BF3BB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81C67"/>
    <w:rPr>
      <w:position w:val="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vpn</dc:creator>
  <cp:keywords/>
  <dc:description/>
  <cp:lastModifiedBy>vpn</cp:lastModifiedBy>
  <cp:revision>1</cp:revision>
  <cp:lastPrinted>2024-04-24T12:09:00Z</cp:lastPrinted>
  <dcterms:created xsi:type="dcterms:W3CDTF">2024-04-24T12:00:00Z</dcterms:created>
  <dcterms:modified xsi:type="dcterms:W3CDTF">2024-04-24T12:25:00Z</dcterms:modified>
</cp:coreProperties>
</file>