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CC953" w14:textId="3C454F9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Uchwała Nr</w:t>
      </w:r>
      <w:r w:rsidR="00506E24" w:rsidRPr="003F2345">
        <w:rPr>
          <w:rFonts w:ascii="Times New Roman" w:hAnsi="Times New Roman" w:cs="Times New Roman"/>
          <w:kern w:val="0"/>
          <w:sz w:val="24"/>
          <w:szCs w:val="24"/>
        </w:rPr>
        <w:t xml:space="preserve"> …/24</w:t>
      </w:r>
    </w:p>
    <w:p w14:paraId="7C743044" w14:textId="4E15C72B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Gminy Brodnica                                       </w:t>
      </w:r>
    </w:p>
    <w:p w14:paraId="106CACF9" w14:textId="0FB2411D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 z dnia</w:t>
      </w:r>
      <w:r w:rsidR="00506E24" w:rsidRPr="003F2345">
        <w:rPr>
          <w:rFonts w:ascii="Times New Roman" w:hAnsi="Times New Roman" w:cs="Times New Roman"/>
          <w:kern w:val="0"/>
          <w:sz w:val="24"/>
          <w:szCs w:val="24"/>
        </w:rPr>
        <w:t xml:space="preserve"> 27 marca 2024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r.                    </w:t>
      </w: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</w:t>
      </w:r>
    </w:p>
    <w:p w14:paraId="34348122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D4AC36D" w14:textId="344B8211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zmieniająca uchwałę w sprawie uchwalenia Wieloletniej Prognozy Finansowej Gminy Brodnica na lata 202</w:t>
      </w:r>
      <w:r w:rsidR="00506E24" w:rsidRPr="003F2345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>-202</w:t>
      </w:r>
      <w:r w:rsidR="00506E24" w:rsidRPr="003F2345">
        <w:rPr>
          <w:rFonts w:ascii="Times New Roman" w:hAnsi="Times New Roman" w:cs="Times New Roman"/>
          <w:kern w:val="0"/>
          <w:sz w:val="24"/>
          <w:szCs w:val="24"/>
        </w:rPr>
        <w:t>7</w:t>
      </w:r>
    </w:p>
    <w:p w14:paraId="183810C8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E87683" w14:textId="3A157F54" w:rsidR="008905B2" w:rsidRPr="003F2345" w:rsidRDefault="008905B2" w:rsidP="00B7006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>Na podstawie art. 18 ust. 2 pkt 15 ustawy z dnia 8 marca 1990 r. o samorządzie gminnym (Dz. U. z 2023 r. poz. 40, 572, 1463 i 1688)</w:t>
      </w:r>
      <w:r w:rsidR="009074D5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art. 226, art. 227, art. 228 oraz art. 231 ust. 1 ustawy z dnia 27 sierpnia 2009 r. o finansach publicznych (Dz. U. z 2023 r. poz. 1270</w:t>
      </w:r>
      <w:r w:rsidR="00714288" w:rsidRPr="009074D5">
        <w:rPr>
          <w:rStyle w:val="Odwoanieprzypisudolnego"/>
          <w:rFonts w:ascii="Times New Roman" w:hAnsi="Times New Roman" w:cs="Times New Roman"/>
          <w:color w:val="000000"/>
          <w:kern w:val="0"/>
          <w:sz w:val="20"/>
          <w:szCs w:val="20"/>
        </w:rPr>
        <w:footnoteReference w:id="1"/>
      </w:r>
      <w:r w:rsidR="009074D5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)</w:t>
      </w: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oraz </w:t>
      </w:r>
      <w:r w:rsidR="00714288"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>R</w:t>
      </w: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>ozporządzenia Ministra Finansów z dnia 10 stycznia 2013 r. w sprawie wieloletniej prognozy finansowej jednostki samorządu terytorialnego (Dz. U. z 2021 r. poz. 83) Rada Gminy Brodnica uchwala, co następuje:</w:t>
      </w:r>
    </w:p>
    <w:p w14:paraId="26175FBA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C017C4" w14:textId="7EC565D6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§ 1. W Uchwale Nr 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XLIII/267/2023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Rady Gminy Brodnica z dnia 1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grudnia 202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r. w sprawie uchwalenia Wieloletniej Prognozy Finansowej Gminy Brodnica na lata 202</w:t>
      </w:r>
      <w:r w:rsidR="00714288" w:rsidRPr="003F2345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>-202</w:t>
      </w:r>
      <w:r w:rsidR="00714288" w:rsidRPr="003F2345">
        <w:rPr>
          <w:rFonts w:ascii="Times New Roman" w:hAnsi="Times New Roman" w:cs="Times New Roman"/>
          <w:kern w:val="0"/>
          <w:sz w:val="24"/>
          <w:szCs w:val="24"/>
        </w:rPr>
        <w:t>7,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wprowadza się następujące zmiany:</w:t>
      </w:r>
    </w:p>
    <w:p w14:paraId="095CB90F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1) załącznik nr 1 otrzymuje brzmienie określone w załączniku nr 1 do niniejszej uchwały,</w:t>
      </w:r>
    </w:p>
    <w:p w14:paraId="45343BC8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2) załącznik nr 2 otrzymuje brzmienie określone w załączniku nr 2 do niniejszej uchwały.</w:t>
      </w:r>
    </w:p>
    <w:p w14:paraId="7FE63E7F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F87BFB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§ 2. Do uchwały dołącza się objaśnienia przyjętych wartości.</w:t>
      </w:r>
    </w:p>
    <w:p w14:paraId="5DB9311C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49DF2B7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§ 3. Wykonanie uchwały powierza się Wójtowi Gminy Brodnica.</w:t>
      </w:r>
    </w:p>
    <w:p w14:paraId="5A750D67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79007BA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§ 4. Uchwała wchodzi w życie z dniem podjęcia. </w:t>
      </w:r>
    </w:p>
    <w:p w14:paraId="4B854635" w14:textId="77777777" w:rsidR="008905B2" w:rsidRPr="003F2345" w:rsidRDefault="008905B2" w:rsidP="00890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0705A31" w14:textId="77777777" w:rsidR="00C92BAC" w:rsidRPr="003F2345" w:rsidRDefault="00C92BAC">
      <w:pPr>
        <w:rPr>
          <w:rFonts w:ascii="Times New Roman" w:hAnsi="Times New Roman" w:cs="Times New Roman"/>
          <w:sz w:val="24"/>
          <w:szCs w:val="24"/>
        </w:rPr>
      </w:pPr>
    </w:p>
    <w:p w14:paraId="4C80BA31" w14:textId="77777777" w:rsidR="003F2345" w:rsidRPr="003F2345" w:rsidRDefault="003F2345">
      <w:pPr>
        <w:rPr>
          <w:rFonts w:ascii="Times New Roman" w:hAnsi="Times New Roman" w:cs="Times New Roman"/>
          <w:sz w:val="24"/>
          <w:szCs w:val="24"/>
        </w:rPr>
      </w:pPr>
    </w:p>
    <w:p w14:paraId="531965BF" w14:textId="77777777" w:rsidR="003F2345" w:rsidRPr="003F2345" w:rsidRDefault="003F2345">
      <w:pPr>
        <w:rPr>
          <w:rFonts w:ascii="Times New Roman" w:hAnsi="Times New Roman" w:cs="Times New Roman"/>
          <w:sz w:val="24"/>
          <w:szCs w:val="24"/>
        </w:rPr>
      </w:pPr>
    </w:p>
    <w:p w14:paraId="7C52BC8C" w14:textId="77777777" w:rsidR="003F2345" w:rsidRPr="003F2345" w:rsidRDefault="003F2345">
      <w:pPr>
        <w:rPr>
          <w:rFonts w:ascii="Times New Roman" w:hAnsi="Times New Roman" w:cs="Times New Roman"/>
          <w:sz w:val="24"/>
          <w:szCs w:val="24"/>
        </w:rPr>
      </w:pPr>
    </w:p>
    <w:p w14:paraId="744346F9" w14:textId="77777777" w:rsidR="003F2345" w:rsidRPr="003F2345" w:rsidRDefault="003F2345">
      <w:pPr>
        <w:rPr>
          <w:rFonts w:ascii="Times New Roman" w:hAnsi="Times New Roman" w:cs="Times New Roman"/>
          <w:sz w:val="24"/>
          <w:szCs w:val="24"/>
        </w:rPr>
      </w:pPr>
    </w:p>
    <w:p w14:paraId="421D0A3A" w14:textId="77777777" w:rsidR="009074D5" w:rsidRDefault="009074D5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36487A2" w14:textId="54F47AEF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Objaśnienia przyjętych wartości do Wieloletniej Prognozy Finansowej WPF Gminy</w:t>
      </w:r>
    </w:p>
    <w:p w14:paraId="12B41909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>Brodnica na lata 2024 – 2027, zwanej dalej WPF</w:t>
      </w:r>
    </w:p>
    <w:p w14:paraId="2231372D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1E8912" w14:textId="5D3F042C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opracowania WPF wykorzystano historyczne materiały źródłowe dotyczące wykonania dochodów i wydatków, przychodów i rozchodów za lata 2019-202</w:t>
      </w:r>
      <w:r w:rsidR="003F2345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a także podstawowe wskaźniki makroekonomiczne na lata 2024-2027 (aktualizacja październik 2023 r.). Do opracowania WPF wykorzystano zgromadzone informacje o faktach dotyczących gospodarki finansowej.</w:t>
      </w:r>
    </w:p>
    <w:p w14:paraId="0F7D5B92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Niestabilność i nieprzewidywalność cykli gospodarczych nakazuje zachowanie szczególnej ostrożności dla prognoz długookresowych. Tworzenie projekcji poszczególnych kategorii dochodów i wydatków, obrazujących sytuację finansową gminy w przyszłych latach, pozwala na dokonanie oceny możliwości inwestycyjnych oraz ocenę jej zdolności kredytowej.</w:t>
      </w:r>
    </w:p>
    <w:p w14:paraId="572EB652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projektowania dochodów z tytułu podatków i opłat lokalnych przyjęto średnioroczny wskaźnik wzrostu cen towarów i usług konsumpcyjnych na rok 2025 4,1%, na rok 2026 3,1% i na rok 2027 2,5% biorąc pod uwagę wzrost podstawy opodatkowania.</w:t>
      </w:r>
    </w:p>
    <w:p w14:paraId="3615502A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2024 r. dochody z podatków lokalnych zaplanowano zgodnie z Uchwałami Rady Gminy oraz ustawowymi stawkami, które będą obowiązywały w 2024 r. Udziały w podatku dochodowym od osób fizycznych i od osób prawnych planuje się na 2024 r. w kwotach zgodnych z informacją Ministra Finansów. Na dalsze lata 2025-2027 dochody z tych tytułów planuje się wyższe o 4,1% w roku 2025, o 3,1% w roku 2026 i o 2,5% w roku 2027.</w:t>
      </w:r>
    </w:p>
    <w:p w14:paraId="6AB13612" w14:textId="558FE9CB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latach 2024 i 2025 zaplanowano dochody majątkowe w łącznej kwocie 10.749.144,00 zł z tytułu wstępnych promes jakie gmina otrzymała w 2023 r. z Banku Gospodarstwa Krajowego na dofinansow</w:t>
      </w:r>
      <w:r w:rsidR="003F2345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>nie inwestycji:</w:t>
      </w:r>
    </w:p>
    <w:p w14:paraId="2B743013" w14:textId="77777777" w:rsidR="00C92BAC" w:rsidRPr="003F2345" w:rsidRDefault="00C92BAC" w:rsidP="00C92BA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Przebudowa dróg gminnych na terenie Gminy Brodnica z Rządowego Funduszu Polski Ład: Programu Inwestycji Strategicznych edycja szósta PGR - plan roku 2024 r. 1.999.200,00 zł (jedna transza),</w:t>
      </w:r>
    </w:p>
    <w:p w14:paraId="23651315" w14:textId="77777777" w:rsidR="00C92BAC" w:rsidRPr="003F2345" w:rsidRDefault="00C92BAC" w:rsidP="00C92BA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Modernizacja zabytkowego budynku wraz z ogrodzeniem byłej szkoły podstawowej w Żabnie, obecnie pełniącego funkcję przedszkola z Rządowego Programu Odbudowy Zbytków edycja pierwsza - plan roku 2024 490.000,00 zł (jedna transza),</w:t>
      </w:r>
    </w:p>
    <w:p w14:paraId="7799DFB9" w14:textId="77777777" w:rsidR="00C92BAC" w:rsidRPr="003F2345" w:rsidRDefault="00C92BAC" w:rsidP="00C92BA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Modernizacja zabytkowego budynku starej szkoły podstawowej w Brodnicy, obecnie pełniącego funkcję Biblioteki Publicznej Gminy Brodnica z Rządowego Programu Odbudowy Zbytków edycja druga - plan roku 2024 259.994,00 zł (jedna transza),</w:t>
      </w:r>
    </w:p>
    <w:p w14:paraId="6528A6E7" w14:textId="77777777" w:rsidR="00C92BAC" w:rsidRPr="003F2345" w:rsidRDefault="00C92BAC" w:rsidP="00C92BA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Budowa oraz przebudowa sieci wodociągowej z przyłączami oraz budowa sieci kanalizacyjnej w miejscowościach Gminy Brodnica Rządowego Funduszu Polski Ład: Programu Inwestycji Strategicznych edycja ósma - plan roku 2024 r. 2.399.985,00 zł i roku 2025 5.599.965,00 zł, tj. łącznie 7.999.950,00 zł (dwie transze).</w:t>
      </w:r>
    </w:p>
    <w:p w14:paraId="6397DEEE" w14:textId="724E7170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Subwencję ogólną w roku 2024 zaplanowano w wysokości 1</w:t>
      </w:r>
      <w:r w:rsidR="003F2345">
        <w:rPr>
          <w:rFonts w:ascii="Times New Roman" w:hAnsi="Times New Roman" w:cs="Times New Roman"/>
          <w:kern w:val="0"/>
          <w:sz w:val="24"/>
          <w:szCs w:val="24"/>
        </w:rPr>
        <w:t>3.025.361,00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 zgodnie z informacją Ministra Finansów. Na lata 2025-2027 zaplanowano wzrost: w roku 2025 o 4,1%, w roku 2026 o 3,1% i w roku 2027 o 2,5%.</w:t>
      </w:r>
    </w:p>
    <w:p w14:paraId="545049B2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lastRenderedPageBreak/>
        <w:t>Do projektowania dochodów z dzierżaw oraz wpływów z usług przyjęto średnioroczny wskaźnik wzrostu cen towarów i usług konsumpcyjnych.</w:t>
      </w:r>
    </w:p>
    <w:p w14:paraId="27280775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Plan dotacji na 2024 r. ustalono zgodnie z zawiadomieniami dysponentów za wyjątkiem dotacji dotyczącej dofinansowania wychowania przedszkolnego. Plan dotacji na lata 2025-2027 ustalono według stanu na 31.10.2023 r. z uwzględnieniem § 2010, § 2030 oraz zastosowano wskaźnik wzrostu cen towarów i usług konsumpcyjnych.</w:t>
      </w:r>
    </w:p>
    <w:p w14:paraId="45B2EC85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Pozostałe dochody zaplanowano z uwzględnieniem wykonania w 2022 r. oraz przewidywanego wykonania w 2023 r. oraz na podstawie przedmiotowych uchwał rady gminy, biorąc pod uwagę incydentalne wpływy do budżetu.</w:t>
      </w:r>
    </w:p>
    <w:p w14:paraId="7C287C0F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Poziom prognozowanych wydatków bieżących zdeterminowany jest zakresem realizowanych zadań oraz możliwościami finansowymi.</w:t>
      </w:r>
    </w:p>
    <w:p w14:paraId="382C522C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opracowania wielkości planowanych wydatków przyjęto założenie, że wzrost nastąpi w zakresie wydatków bieżących niezbędnych dla prawidłowego realizowania zadań gminy biorąc pod uwagę jednoroczne, incydentalne wydatki.</w:t>
      </w:r>
    </w:p>
    <w:p w14:paraId="17592C3E" w14:textId="46117365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Wydatki na wynagrodzenia i składki od nich naliczone na 2024 rok zaplanowano w wysokości 1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3.844.901,72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zł. Na lata 2025-2027 zaplanowano wzrost w oparciu o planowany średnioroczny wzrost cen towarów i usług konsumpcyjnych.</w:t>
      </w:r>
    </w:p>
    <w:p w14:paraId="5302FA39" w14:textId="2C31C385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Wydatki majątkowe zaplanowano w 2024 r. w wysokości 8.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760.822,25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 i dla roku 2025 6.021.015,00 zł.</w:t>
      </w:r>
    </w:p>
    <w:p w14:paraId="34464349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Generowanie nadwyżki operacyjnej wymaga determinacji w zakresie racjonalizacji wydatków bieżących. Zakłada się podejmowanie działań efektywnościowych w obszarach, na które Gmina ma wpływ. Zarówno na etapie planowania jak i realizacji budżetu konieczne jest zachowanie odpowiedniej relacji między dochodami bieżącymi i wydatkami bieżącymi.</w:t>
      </w:r>
    </w:p>
    <w:p w14:paraId="0690148D" w14:textId="12C151A5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Planowany deficyt w 2024 r. w wysokości 2.</w:t>
      </w:r>
      <w:r w:rsidR="003F2345" w:rsidRPr="003F2345">
        <w:rPr>
          <w:rFonts w:ascii="Times New Roman" w:hAnsi="Times New Roman" w:cs="Times New Roman"/>
          <w:kern w:val="0"/>
          <w:sz w:val="24"/>
          <w:szCs w:val="24"/>
        </w:rPr>
        <w:t>802.113,64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 zostanie sfinansowany przychodami pochodzącymi z nadwyżki budżetu z lat ubiegłych.</w:t>
      </w:r>
    </w:p>
    <w:p w14:paraId="60710E35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WPF nie planuje się zaciągać nowych zobowiązań zwrotnych.</w:t>
      </w:r>
    </w:p>
    <w:p w14:paraId="6C3AEECD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roku 2025 zaplanowano przychody z tytułu nadwyżki budżetowej z lat ubiegłych w wysokości 721.050,00 zł (w tym na pokrycie deficytu 421.050,00 zł).</w:t>
      </w:r>
    </w:p>
    <w:p w14:paraId="2BE82FBA" w14:textId="00D94BC9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W roku 2024 nadwyżka operacyjna wynosi </w:t>
      </w:r>
      <w:r w:rsidR="003F2345">
        <w:rPr>
          <w:rFonts w:ascii="Times New Roman" w:hAnsi="Times New Roman" w:cs="Times New Roman"/>
          <w:kern w:val="0"/>
          <w:sz w:val="24"/>
          <w:szCs w:val="24"/>
        </w:rPr>
        <w:t>657.529,61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zł. W latach 2025-2027 nie planuje się nadwyżki operacyjnej, planowane dochody bieżące równe są wydatkom bieżącym.</w:t>
      </w:r>
    </w:p>
    <w:p w14:paraId="057BB2CA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Wykup obligacji oraz spłaty odsetek zaplanowano zgodnie z zawartą w 2017 r. umową. </w:t>
      </w:r>
    </w:p>
    <w:p w14:paraId="7586960B" w14:textId="77777777" w:rsidR="00C92BAC" w:rsidRPr="003F2345" w:rsidRDefault="00C92BAC" w:rsidP="00C92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Przedsięwzięcia wieloletnie określone w załączniku do WPF to:</w:t>
      </w:r>
    </w:p>
    <w:p w14:paraId="473719B5" w14:textId="77777777" w:rsidR="00C92BAC" w:rsidRPr="003F2345" w:rsidRDefault="00C92BAC" w:rsidP="00C92BA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Budowa rurociągu wody surowej S1 od ujęcia wody do SUW w Piotrowie 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br/>
        <w:t>w miejscowości Piotrowo obręb Chaławy z okresem realizacji w latach 2022-2024, łączne nakłady wynoszą 428.752,00 zł, limit wydatków dla roku 2024 wynosi 412.762,00 zł.</w:t>
      </w:r>
    </w:p>
    <w:p w14:paraId="27E21C62" w14:textId="77777777" w:rsidR="00C92BAC" w:rsidRPr="003F2345" w:rsidRDefault="00C92BAC" w:rsidP="00C92BA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Modernizacja zabytkowego budynku wraz z ogrodzeniem byłej szkoły podstawowej 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br/>
        <w:t>w Żabnie, obecnie pełniącego funkcje przedszkola, z okresem realizacji w latach 2023-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lastRenderedPageBreak/>
        <w:t>2024, łączne nakłady wynoszą 543.980,00 zł limit wydatków dla roku 2024 wynosi 523.680,00 zł.</w:t>
      </w:r>
    </w:p>
    <w:p w14:paraId="28679719" w14:textId="77777777" w:rsidR="00C92BAC" w:rsidRPr="003F2345" w:rsidRDefault="00C92BAC" w:rsidP="00C92BA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Przebudowa dróg gminnych na terenie Gminy Brodnica z okresem realizacji w latach 2023-2024, łączne nakłady wynoszą 2.259.152,00 zł, limit wydatków dla roku 2024 wynosi 2.155.709,00 zł.</w:t>
      </w:r>
    </w:p>
    <w:p w14:paraId="291C561A" w14:textId="77777777" w:rsidR="00C92BAC" w:rsidRPr="003F2345" w:rsidRDefault="00C92BAC" w:rsidP="00C92BA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Budowa oraz przebudowa sieci wodociągowej z przyłączami oraz budowa sieci kanalizacyjnej w miejscowościach Gminy Brodnica z okresem realizacji w latach 2023-2025, łączne nakłady wynoszą 8.722.315,00 zł, limit wydatków dla roku 2024 wynosi 2.646.300,00 zł a dla roku 2025 6.021.015,00 zł.</w:t>
      </w:r>
    </w:p>
    <w:p w14:paraId="3F1FE9E1" w14:textId="77777777" w:rsidR="00C92BAC" w:rsidRPr="003F2345" w:rsidRDefault="00C92BAC" w:rsidP="00C92BA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Rozbudowa budynku świetlicy wiejskiej w Chaławach z okresem realizacji w latach 2023-2024, łączne nakłady wynoszą 173.597,00 zł, limit wydatków dla roku 2024 wynosi 164.697,00 zł.</w:t>
      </w:r>
    </w:p>
    <w:p w14:paraId="465C2CB0" w14:textId="77777777" w:rsidR="00C92BAC" w:rsidRPr="003F2345" w:rsidRDefault="00C92BAC" w:rsidP="00C9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6D35DFD" w14:textId="77777777" w:rsidR="00C92BAC" w:rsidRPr="003F2345" w:rsidRDefault="00C92BAC">
      <w:pPr>
        <w:rPr>
          <w:rFonts w:ascii="Times New Roman" w:hAnsi="Times New Roman" w:cs="Times New Roman"/>
          <w:sz w:val="24"/>
          <w:szCs w:val="24"/>
        </w:rPr>
      </w:pPr>
    </w:p>
    <w:sectPr w:rsidR="00C92BAC" w:rsidRPr="003F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234A5" w14:textId="77777777" w:rsidR="00870E7D" w:rsidRDefault="00870E7D" w:rsidP="00714288">
      <w:pPr>
        <w:spacing w:after="0" w:line="240" w:lineRule="auto"/>
      </w:pPr>
      <w:r>
        <w:separator/>
      </w:r>
    </w:p>
  </w:endnote>
  <w:endnote w:type="continuationSeparator" w:id="0">
    <w:p w14:paraId="163710E2" w14:textId="77777777" w:rsidR="00870E7D" w:rsidRDefault="00870E7D" w:rsidP="0071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90336" w14:textId="77777777" w:rsidR="00870E7D" w:rsidRDefault="00870E7D" w:rsidP="00714288">
      <w:pPr>
        <w:spacing w:after="0" w:line="240" w:lineRule="auto"/>
      </w:pPr>
      <w:r>
        <w:separator/>
      </w:r>
    </w:p>
  </w:footnote>
  <w:footnote w:type="continuationSeparator" w:id="0">
    <w:p w14:paraId="5896654B" w14:textId="77777777" w:rsidR="00870E7D" w:rsidRDefault="00870E7D" w:rsidP="00714288">
      <w:pPr>
        <w:spacing w:after="0" w:line="240" w:lineRule="auto"/>
      </w:pPr>
      <w:r>
        <w:continuationSeparator/>
      </w:r>
    </w:p>
  </w:footnote>
  <w:footnote w:id="1">
    <w:p w14:paraId="71EA2F0E" w14:textId="1459D2B1" w:rsidR="00714288" w:rsidRPr="009074D5" w:rsidRDefault="00714288">
      <w:pPr>
        <w:pStyle w:val="Tekstprzypisudolnego"/>
        <w:rPr>
          <w:rFonts w:ascii="Times New Roman" w:hAnsi="Times New Roman" w:cs="Times New Roman"/>
        </w:rPr>
      </w:pPr>
      <w:r w:rsidRPr="009074D5">
        <w:rPr>
          <w:rStyle w:val="Odwoanieprzypisudolnego"/>
          <w:rFonts w:ascii="Times New Roman" w:hAnsi="Times New Roman" w:cs="Times New Roman"/>
        </w:rPr>
        <w:footnoteRef/>
      </w:r>
      <w:r w:rsidR="009074D5">
        <w:rPr>
          <w:rFonts w:ascii="Times New Roman" w:hAnsi="Times New Roman" w:cs="Times New Roman"/>
          <w:vertAlign w:val="superscript"/>
        </w:rPr>
        <w:t>)</w:t>
      </w:r>
      <w:r w:rsidRPr="009074D5">
        <w:rPr>
          <w:rFonts w:ascii="Times New Roman" w:hAnsi="Times New Roman" w:cs="Times New Roman"/>
        </w:rPr>
        <w:t xml:space="preserve"> Zmiany tekstu jednolitego ustawy zostały ogłoszone w Dz.U. z 2023 r.  poz. 497, 1273, 1407, 1641, 1693, i 1872,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97067626">
    <w:abstractNumId w:val="0"/>
  </w:num>
  <w:num w:numId="2" w16cid:durableId="10944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B2"/>
    <w:rsid w:val="000F51CD"/>
    <w:rsid w:val="00136B32"/>
    <w:rsid w:val="003F2345"/>
    <w:rsid w:val="00506E24"/>
    <w:rsid w:val="00714288"/>
    <w:rsid w:val="00870E7D"/>
    <w:rsid w:val="008905B2"/>
    <w:rsid w:val="008E43D2"/>
    <w:rsid w:val="009074D5"/>
    <w:rsid w:val="00B70063"/>
    <w:rsid w:val="00C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6B86"/>
  <w15:chartTrackingRefBased/>
  <w15:docId w15:val="{3E8AEF40-9365-4501-92FF-DBB309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905B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05B2"/>
    <w:rPr>
      <w:rFonts w:ascii="Times New Roman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05B2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05B2"/>
    <w:rPr>
      <w:rFonts w:ascii="Times New Roman" w:hAnsi="Times New Roman" w:cs="Times New Roman"/>
      <w:kern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8905B2"/>
    <w:rPr>
      <w:position w:val="6"/>
    </w:rPr>
  </w:style>
  <w:style w:type="paragraph" w:customStyle="1" w:styleId="Normal">
    <w:name w:val="[Normal]"/>
    <w:uiPriority w:val="99"/>
    <w:rsid w:val="00C92B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C92BAC"/>
    <w:pPr>
      <w:autoSpaceDE w:val="0"/>
      <w:autoSpaceDN w:val="0"/>
      <w:adjustRightInd w:val="0"/>
      <w:ind w:left="720"/>
    </w:pPr>
    <w:rPr>
      <w:rFonts w:ascii="Calibri" w:hAnsi="Calibri" w:cs="Calibri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2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AA7D-3114-4F5F-B8BC-ED28222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Bartosz Ogrodowski</cp:lastModifiedBy>
  <cp:revision>3</cp:revision>
  <dcterms:created xsi:type="dcterms:W3CDTF">2024-03-26T08:33:00Z</dcterms:created>
  <dcterms:modified xsi:type="dcterms:W3CDTF">2024-03-26T08:33:00Z</dcterms:modified>
</cp:coreProperties>
</file>